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79" w:rsidRPr="00775D9F" w:rsidRDefault="00535F7D" w:rsidP="00775D9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75D9F">
        <w:rPr>
          <w:rFonts w:ascii="Arial" w:hAnsi="Arial" w:cs="Arial"/>
          <w:color w:val="000000"/>
          <w:sz w:val="24"/>
          <w:szCs w:val="24"/>
        </w:rPr>
        <w:t>OBIETTIVI STRATEGICI 2018 – 2020 Servizio Rifiuti</w:t>
      </w:r>
    </w:p>
    <w:p w:rsidR="00535F7D" w:rsidRPr="00535F7D" w:rsidRDefault="00535F7D" w:rsidP="00535F7D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5F7D">
        <w:rPr>
          <w:rFonts w:ascii="Arial" w:hAnsi="Arial" w:cs="Arial"/>
          <w:color w:val="000000"/>
          <w:sz w:val="24"/>
          <w:szCs w:val="24"/>
        </w:rPr>
        <w:t xml:space="preserve">Per quanto attiene il Servizio </w:t>
      </w:r>
      <w:proofErr w:type="gramStart"/>
      <w:r w:rsidRPr="00535F7D">
        <w:rPr>
          <w:rFonts w:ascii="Arial" w:hAnsi="Arial" w:cs="Arial"/>
          <w:color w:val="000000"/>
          <w:sz w:val="24"/>
          <w:szCs w:val="24"/>
        </w:rPr>
        <w:t>di  gestione</w:t>
      </w:r>
      <w:proofErr w:type="gramEnd"/>
      <w:r w:rsidRPr="00535F7D">
        <w:rPr>
          <w:rFonts w:ascii="Arial" w:hAnsi="Arial" w:cs="Arial"/>
          <w:color w:val="000000"/>
          <w:sz w:val="24"/>
          <w:szCs w:val="24"/>
        </w:rPr>
        <w:t xml:space="preserve"> dei rifiuti, gli obiettivi strategici si sovrappongono quasi interamente a quanto la normativa nazionale e regionale affida in termini di competenze. </w:t>
      </w:r>
    </w:p>
    <w:p w:rsidR="00535F7D" w:rsidRPr="001A4043" w:rsidRDefault="00535F7D" w:rsidP="00535F7D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particolare  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043">
        <w:rPr>
          <w:rFonts w:ascii="Arial" w:hAnsi="Arial" w:cs="Arial"/>
          <w:color w:val="000000"/>
          <w:sz w:val="24"/>
          <w:szCs w:val="24"/>
        </w:rPr>
        <w:t xml:space="preserve">funzioni attribuite all’EGRIB in materia di governo dei rifiuti </w:t>
      </w:r>
      <w:r>
        <w:rPr>
          <w:rFonts w:ascii="Arial" w:hAnsi="Arial" w:cs="Arial"/>
          <w:color w:val="000000"/>
          <w:sz w:val="24"/>
          <w:szCs w:val="24"/>
        </w:rPr>
        <w:t xml:space="preserve">sono </w:t>
      </w:r>
      <w:r w:rsidRPr="001A4043">
        <w:rPr>
          <w:rFonts w:ascii="Arial" w:hAnsi="Arial" w:cs="Arial"/>
          <w:color w:val="000000"/>
          <w:sz w:val="24"/>
          <w:szCs w:val="24"/>
        </w:rPr>
        <w:t>quelle proprie dell’Assemblea  riportate  all’ art.6 comma 1 lettera b) della L.R. 1/2016.</w:t>
      </w:r>
    </w:p>
    <w:p w:rsidR="00535F7D" w:rsidRPr="001A4043" w:rsidRDefault="00535F7D" w:rsidP="00535F7D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043">
        <w:rPr>
          <w:rFonts w:ascii="Arial" w:hAnsi="Arial" w:cs="Arial"/>
          <w:color w:val="000000"/>
          <w:sz w:val="24"/>
          <w:szCs w:val="24"/>
        </w:rPr>
        <w:t xml:space="preserve">E’ precisato che spettano </w:t>
      </w:r>
      <w:proofErr w:type="gramStart"/>
      <w:r w:rsidRPr="001A4043">
        <w:rPr>
          <w:rFonts w:ascii="Arial" w:hAnsi="Arial" w:cs="Arial"/>
          <w:color w:val="000000"/>
          <w:sz w:val="24"/>
          <w:szCs w:val="24"/>
        </w:rPr>
        <w:t>all’assemblea  “</w:t>
      </w:r>
      <w:proofErr w:type="gramEnd"/>
      <w:r w:rsidRPr="001A4043">
        <w:rPr>
          <w:rFonts w:ascii="Arial" w:hAnsi="Arial" w:cs="Arial"/>
          <w:color w:val="000000"/>
          <w:sz w:val="24"/>
          <w:szCs w:val="24"/>
        </w:rPr>
        <w:t xml:space="preserve">lo svolgimento delle funzioni già attribuite alla Conferenza Interistituzionale di      Gestione dei Rifiuti, già Autorità d’Ambito Rifiuti, dalla legge regionale 2 febbraio 2001, n. 6 e </w:t>
      </w:r>
      <w:proofErr w:type="spellStart"/>
      <w:r w:rsidRPr="001A4043">
        <w:rPr>
          <w:rFonts w:ascii="Arial" w:hAnsi="Arial" w:cs="Arial"/>
          <w:color w:val="000000"/>
          <w:sz w:val="24"/>
          <w:szCs w:val="24"/>
        </w:rPr>
        <w:t>ss.mm.ii</w:t>
      </w:r>
      <w:proofErr w:type="spellEnd"/>
      <w:r w:rsidRPr="001A4043">
        <w:rPr>
          <w:rFonts w:ascii="Arial" w:hAnsi="Arial" w:cs="Arial"/>
          <w:color w:val="000000"/>
          <w:sz w:val="24"/>
          <w:szCs w:val="24"/>
        </w:rPr>
        <w:t xml:space="preserve">., nonché quelle previste  per l’autorità dell’ambito dal </w:t>
      </w:r>
      <w:proofErr w:type="spellStart"/>
      <w:r w:rsidRPr="001A4043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1A4043">
        <w:rPr>
          <w:rFonts w:ascii="Arial" w:hAnsi="Arial" w:cs="Arial"/>
          <w:color w:val="000000"/>
          <w:sz w:val="24"/>
          <w:szCs w:val="24"/>
        </w:rPr>
        <w:t xml:space="preserve">  3 aprile </w:t>
      </w:r>
      <w:proofErr w:type="gramStart"/>
      <w:r w:rsidRPr="001A4043">
        <w:rPr>
          <w:rFonts w:ascii="Arial" w:hAnsi="Arial" w:cs="Arial"/>
          <w:color w:val="000000"/>
          <w:sz w:val="24"/>
          <w:szCs w:val="24"/>
        </w:rPr>
        <w:t>2006,  n.</w:t>
      </w:r>
      <w:proofErr w:type="gramEnd"/>
      <w:r w:rsidRPr="001A4043">
        <w:rPr>
          <w:rFonts w:ascii="Arial" w:hAnsi="Arial" w:cs="Arial"/>
          <w:color w:val="000000"/>
          <w:sz w:val="24"/>
          <w:szCs w:val="24"/>
        </w:rPr>
        <w:t xml:space="preserve"> 152 e </w:t>
      </w:r>
      <w:proofErr w:type="spellStart"/>
      <w:r w:rsidRPr="001A4043">
        <w:rPr>
          <w:rFonts w:ascii="Arial" w:hAnsi="Arial" w:cs="Arial"/>
          <w:color w:val="000000"/>
          <w:sz w:val="24"/>
          <w:szCs w:val="24"/>
        </w:rPr>
        <w:t>ss.mm.ii</w:t>
      </w:r>
      <w:proofErr w:type="spellEnd"/>
      <w:r w:rsidRPr="001A4043">
        <w:rPr>
          <w:rFonts w:ascii="Arial" w:hAnsi="Arial" w:cs="Arial"/>
          <w:color w:val="000000"/>
          <w:sz w:val="24"/>
          <w:szCs w:val="24"/>
        </w:rPr>
        <w:t>., in coerenza con il Piano Regionale dei Rifiuti, e in particolare:</w:t>
      </w:r>
    </w:p>
    <w:p w:rsidR="00535F7D" w:rsidRPr="00D56B1F" w:rsidRDefault="00535F7D" w:rsidP="00535F7D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000000"/>
          <w:sz w:val="24"/>
          <w:szCs w:val="24"/>
        </w:rPr>
      </w:pPr>
      <w:r w:rsidRPr="001A4043">
        <w:rPr>
          <w:rFonts w:ascii="Arial" w:hAnsi="Arial" w:cs="Arial"/>
          <w:color w:val="000000"/>
          <w:sz w:val="24"/>
          <w:szCs w:val="24"/>
        </w:rPr>
        <w:t xml:space="preserve">1) approva, su proposta dell’Amministratore unico, il modello di </w:t>
      </w:r>
      <w:proofErr w:type="gramStart"/>
      <w:r w:rsidRPr="001A4043">
        <w:rPr>
          <w:rFonts w:ascii="Arial" w:hAnsi="Arial" w:cs="Arial"/>
          <w:color w:val="000000"/>
          <w:sz w:val="24"/>
          <w:szCs w:val="24"/>
        </w:rPr>
        <w:t>gestione  e</w:t>
      </w:r>
      <w:proofErr w:type="gramEnd"/>
      <w:r w:rsidRPr="001A4043">
        <w:rPr>
          <w:rFonts w:ascii="Arial" w:hAnsi="Arial" w:cs="Arial"/>
          <w:color w:val="000000"/>
          <w:sz w:val="24"/>
          <w:szCs w:val="24"/>
        </w:rPr>
        <w:t xml:space="preserve"> le modalità di affidamento del servizio;</w:t>
      </w:r>
      <w:r w:rsidRPr="001A4043">
        <w:rPr>
          <w:rFonts w:ascii="Arial" w:hAnsi="Arial" w:cs="Arial"/>
          <w:color w:val="000000"/>
          <w:sz w:val="24"/>
          <w:szCs w:val="24"/>
        </w:rPr>
        <w:br/>
        <w:t>2) approva, su proposta dell’Amministratore unico, la Convenzione che regola i rapporti con il soggetto gestore del servizio, nonché il relativo disciplinare;</w:t>
      </w:r>
      <w:r w:rsidRPr="001A4043">
        <w:rPr>
          <w:rFonts w:ascii="Arial" w:hAnsi="Arial" w:cs="Arial"/>
          <w:color w:val="000000"/>
          <w:sz w:val="24"/>
          <w:szCs w:val="24"/>
        </w:rPr>
        <w:br/>
        <w:t>3) approva il Piano d’Ambito;</w:t>
      </w:r>
      <w:r w:rsidRPr="001A4043">
        <w:rPr>
          <w:rFonts w:ascii="Arial" w:hAnsi="Arial" w:cs="Arial"/>
          <w:color w:val="000000"/>
          <w:sz w:val="24"/>
          <w:szCs w:val="24"/>
        </w:rPr>
        <w:br/>
        <w:t>4) approva le tariffe;</w:t>
      </w:r>
      <w:r w:rsidRPr="001A4043">
        <w:rPr>
          <w:rFonts w:ascii="Arial" w:hAnsi="Arial" w:cs="Arial"/>
          <w:color w:val="000000"/>
          <w:sz w:val="24"/>
          <w:szCs w:val="24"/>
        </w:rPr>
        <w:br/>
        <w:t>5) approva il  Piano degli Interventi;</w:t>
      </w:r>
      <w:r w:rsidRPr="001A4043">
        <w:rPr>
          <w:rFonts w:ascii="Arial" w:hAnsi="Arial" w:cs="Arial"/>
          <w:color w:val="000000"/>
          <w:sz w:val="24"/>
          <w:szCs w:val="24"/>
        </w:rPr>
        <w:br/>
      </w:r>
      <w:r w:rsidRPr="00D56B1F">
        <w:rPr>
          <w:rFonts w:ascii="Arial" w:hAnsi="Arial" w:cs="Arial"/>
          <w:color w:val="000000"/>
          <w:sz w:val="24"/>
          <w:szCs w:val="24"/>
        </w:rPr>
        <w:t>6) approva la Carta del Servizio.”</w:t>
      </w:r>
    </w:p>
    <w:p w:rsidR="00535F7D" w:rsidRPr="00D56B1F" w:rsidRDefault="00535F7D" w:rsidP="00535F7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6B1F">
        <w:rPr>
          <w:rFonts w:ascii="Arial" w:hAnsi="Arial" w:cs="Arial"/>
          <w:color w:val="000000"/>
          <w:sz w:val="24"/>
          <w:szCs w:val="24"/>
        </w:rPr>
        <w:t xml:space="preserve">L’obiettivo </w:t>
      </w:r>
      <w:proofErr w:type="gramStart"/>
      <w:r w:rsidRPr="00D56B1F">
        <w:rPr>
          <w:rFonts w:ascii="Arial" w:hAnsi="Arial" w:cs="Arial"/>
          <w:color w:val="000000"/>
          <w:sz w:val="24"/>
          <w:szCs w:val="24"/>
        </w:rPr>
        <w:t>è  pertanto</w:t>
      </w:r>
      <w:proofErr w:type="gramEnd"/>
      <w:r w:rsidRPr="00D56B1F">
        <w:rPr>
          <w:rFonts w:ascii="Arial" w:hAnsi="Arial" w:cs="Arial"/>
          <w:color w:val="000000"/>
          <w:sz w:val="24"/>
          <w:szCs w:val="24"/>
        </w:rPr>
        <w:t xml:space="preserve">  quello di  costruire una governance uniforme su tutto il territorio della Regione, che si ispiri ai principi del nuovo Piano</w:t>
      </w:r>
      <w:r w:rsidR="00775D9F">
        <w:rPr>
          <w:rFonts w:ascii="Arial" w:hAnsi="Arial" w:cs="Arial"/>
          <w:color w:val="000000"/>
          <w:sz w:val="24"/>
          <w:szCs w:val="24"/>
        </w:rPr>
        <w:t xml:space="preserve"> Regionale di Gestione dei Rifiuti approvato con DCR n. 568 del 31/12/2016</w:t>
      </w:r>
      <w:r w:rsidRPr="00D56B1F">
        <w:rPr>
          <w:rFonts w:ascii="Arial" w:hAnsi="Arial" w:cs="Arial"/>
          <w:color w:val="000000"/>
          <w:sz w:val="24"/>
          <w:szCs w:val="24"/>
        </w:rPr>
        <w:t>, nell’ottica della riduzione o quanto meno stabilizzazione della produzione dei rifiuti, dell’incremento spinto della raccolta differenziata,  del privilegiare il recupero di materia a quello di energia.</w:t>
      </w:r>
    </w:p>
    <w:p w:rsidR="00535F7D" w:rsidRPr="00D56B1F" w:rsidRDefault="00535F7D" w:rsidP="00535F7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6B1F">
        <w:rPr>
          <w:rFonts w:ascii="Arial" w:hAnsi="Arial" w:cs="Arial"/>
          <w:color w:val="000000"/>
          <w:sz w:val="24"/>
          <w:szCs w:val="24"/>
        </w:rPr>
        <w:t xml:space="preserve">L’Ente </w:t>
      </w:r>
      <w:proofErr w:type="gramStart"/>
      <w:r w:rsidRPr="00D56B1F">
        <w:rPr>
          <w:rFonts w:ascii="Arial" w:hAnsi="Arial" w:cs="Arial"/>
          <w:color w:val="000000"/>
          <w:sz w:val="24"/>
          <w:szCs w:val="24"/>
        </w:rPr>
        <w:t>di  governo</w:t>
      </w:r>
      <w:proofErr w:type="gramEnd"/>
      <w:r w:rsidRPr="00D56B1F">
        <w:rPr>
          <w:rFonts w:ascii="Arial" w:hAnsi="Arial" w:cs="Arial"/>
          <w:color w:val="000000"/>
          <w:sz w:val="24"/>
          <w:szCs w:val="24"/>
        </w:rPr>
        <w:t xml:space="preserve"> inoltre  svolge le proprie funzioni tenendo conto degli indirizzi che la regione detta anche attraverso la redazione di schemi di atti, documenti-tipo, linee guida operative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75D9F" w:rsidRDefault="00535F7D" w:rsidP="00535F7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6B1F">
        <w:rPr>
          <w:rFonts w:ascii="Arial" w:hAnsi="Arial" w:cs="Arial"/>
          <w:color w:val="000000"/>
          <w:sz w:val="24"/>
          <w:szCs w:val="24"/>
        </w:rPr>
        <w:t xml:space="preserve">A questo proposito è bene evidenziare come nella nuova organizzazione, prospettata dal piano regionale,  </w:t>
      </w:r>
      <w:r>
        <w:rPr>
          <w:rFonts w:ascii="Arial" w:hAnsi="Arial" w:cs="Arial"/>
          <w:color w:val="000000"/>
          <w:sz w:val="24"/>
          <w:szCs w:val="24"/>
        </w:rPr>
        <w:t xml:space="preserve">é </w:t>
      </w:r>
      <w:r w:rsidRPr="00D56B1F">
        <w:rPr>
          <w:rFonts w:ascii="Arial" w:hAnsi="Arial" w:cs="Arial"/>
          <w:color w:val="000000"/>
          <w:sz w:val="24"/>
          <w:szCs w:val="24"/>
        </w:rPr>
        <w:t xml:space="preserve">delineata  la gestione dell’impiantistica finale di trattamento e  smaltimento  in un unico ambito regionale,  in coerenza con il principio di autosufficienza,  mentre  le funzioni della raccolta, del trasporto e della differenziazione del rifiuto </w:t>
      </w:r>
      <w:r>
        <w:rPr>
          <w:rFonts w:ascii="Arial" w:hAnsi="Arial" w:cs="Arial"/>
          <w:color w:val="000000"/>
          <w:sz w:val="24"/>
          <w:szCs w:val="24"/>
        </w:rPr>
        <w:t xml:space="preserve">sono </w:t>
      </w:r>
      <w:r w:rsidRPr="00D56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6B1F">
        <w:rPr>
          <w:rFonts w:ascii="Arial" w:hAnsi="Arial" w:cs="Arial"/>
          <w:color w:val="000000"/>
          <w:sz w:val="24"/>
          <w:szCs w:val="24"/>
        </w:rPr>
        <w:lastRenderedPageBreak/>
        <w:t>esercitate in ambiti di raccolta di dimensione comunale e/o sovra</w:t>
      </w:r>
      <w:r w:rsidR="00775D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6B1F">
        <w:rPr>
          <w:rFonts w:ascii="Arial" w:hAnsi="Arial" w:cs="Arial"/>
          <w:color w:val="000000"/>
          <w:sz w:val="24"/>
          <w:szCs w:val="24"/>
        </w:rPr>
        <w:t>comunale</w:t>
      </w:r>
      <w:r w:rsidR="00775D9F">
        <w:rPr>
          <w:rFonts w:ascii="Arial" w:hAnsi="Arial" w:cs="Arial"/>
          <w:color w:val="000000"/>
          <w:sz w:val="24"/>
          <w:szCs w:val="24"/>
        </w:rPr>
        <w:t>, di cui il piano regionale confermando in sostanza quelle già operative</w:t>
      </w:r>
      <w:r w:rsidR="00365EFD">
        <w:rPr>
          <w:rFonts w:ascii="Arial" w:hAnsi="Arial" w:cs="Arial"/>
          <w:color w:val="000000"/>
          <w:sz w:val="24"/>
          <w:szCs w:val="24"/>
        </w:rPr>
        <w:t xml:space="preserve"> (Sub Ambito Vulture – Alto </w:t>
      </w:r>
      <w:proofErr w:type="spellStart"/>
      <w:proofErr w:type="gramStart"/>
      <w:r w:rsidR="00365EFD">
        <w:rPr>
          <w:rFonts w:ascii="Arial" w:hAnsi="Arial" w:cs="Arial"/>
          <w:color w:val="000000"/>
          <w:sz w:val="24"/>
          <w:szCs w:val="24"/>
        </w:rPr>
        <w:t>Bradano</w:t>
      </w:r>
      <w:proofErr w:type="spellEnd"/>
      <w:r w:rsidR="00365EFD">
        <w:rPr>
          <w:rFonts w:ascii="Arial" w:hAnsi="Arial" w:cs="Arial"/>
          <w:color w:val="000000"/>
          <w:sz w:val="24"/>
          <w:szCs w:val="24"/>
        </w:rPr>
        <w:t xml:space="preserve">) </w:t>
      </w:r>
      <w:r w:rsidR="00775D9F">
        <w:rPr>
          <w:rFonts w:ascii="Arial" w:hAnsi="Arial" w:cs="Arial"/>
          <w:color w:val="000000"/>
          <w:sz w:val="24"/>
          <w:szCs w:val="24"/>
        </w:rPr>
        <w:t xml:space="preserve"> o</w:t>
      </w:r>
      <w:proofErr w:type="gramEnd"/>
      <w:r w:rsidR="00775D9F">
        <w:rPr>
          <w:rFonts w:ascii="Arial" w:hAnsi="Arial" w:cs="Arial"/>
          <w:color w:val="000000"/>
          <w:sz w:val="24"/>
          <w:szCs w:val="24"/>
        </w:rPr>
        <w:t xml:space="preserve"> oggetto di incentivi e finanziamenti per mezzi, opere ed attrezzature,  mediante  apposite azioni Regionali  ed in fase di avvio (sub ambiti Potenza 1 e</w:t>
      </w:r>
      <w:r w:rsidR="00365EFD">
        <w:rPr>
          <w:rFonts w:ascii="Arial" w:hAnsi="Arial" w:cs="Arial"/>
          <w:color w:val="000000"/>
          <w:sz w:val="24"/>
          <w:szCs w:val="24"/>
        </w:rPr>
        <w:t xml:space="preserve"> </w:t>
      </w:r>
      <w:r w:rsidR="00775D9F">
        <w:rPr>
          <w:rFonts w:ascii="Arial" w:hAnsi="Arial" w:cs="Arial"/>
          <w:color w:val="000000"/>
          <w:sz w:val="24"/>
          <w:szCs w:val="24"/>
        </w:rPr>
        <w:t xml:space="preserve">2 e Matera 1, 2 e 3) detta delle ipotesi lasciando il </w:t>
      </w:r>
      <w:r w:rsidR="00775D9F" w:rsidRPr="00FC0BF7">
        <w:rPr>
          <w:rFonts w:ascii="Arial" w:hAnsi="Arial" w:cs="Arial"/>
          <w:b/>
          <w:i/>
          <w:color w:val="000000"/>
          <w:sz w:val="24"/>
          <w:szCs w:val="24"/>
        </w:rPr>
        <w:t xml:space="preserve">compito </w:t>
      </w:r>
      <w:r w:rsidR="00775D9F">
        <w:rPr>
          <w:rFonts w:ascii="Arial" w:hAnsi="Arial" w:cs="Arial"/>
          <w:b/>
          <w:i/>
          <w:color w:val="000000"/>
          <w:sz w:val="24"/>
          <w:szCs w:val="24"/>
        </w:rPr>
        <w:t>all’</w:t>
      </w:r>
      <w:r w:rsidR="00775D9F" w:rsidRPr="00FC0BF7">
        <w:rPr>
          <w:rFonts w:ascii="Arial" w:hAnsi="Arial" w:cs="Arial"/>
          <w:b/>
          <w:i/>
          <w:color w:val="000000"/>
          <w:sz w:val="24"/>
          <w:szCs w:val="24"/>
        </w:rPr>
        <w:t>autorità competente,</w:t>
      </w:r>
      <w:r w:rsidR="00775D9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75D9F" w:rsidRPr="00775D9F">
        <w:rPr>
          <w:rFonts w:ascii="Arial" w:hAnsi="Arial" w:cs="Arial"/>
          <w:color w:val="000000"/>
          <w:sz w:val="24"/>
          <w:szCs w:val="24"/>
        </w:rPr>
        <w:t>per</w:t>
      </w:r>
      <w:r w:rsidR="00775D9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75D9F">
        <w:rPr>
          <w:rFonts w:ascii="Arial" w:hAnsi="Arial" w:cs="Arial"/>
          <w:color w:val="000000"/>
          <w:sz w:val="24"/>
          <w:szCs w:val="24"/>
        </w:rPr>
        <w:t>le ulteriori definizioni.</w:t>
      </w:r>
    </w:p>
    <w:p w:rsidR="00482436" w:rsidRDefault="00923F5F" w:rsidP="00923F5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F5F">
        <w:rPr>
          <w:rFonts w:ascii="Arial" w:hAnsi="Arial" w:cs="Arial"/>
          <w:color w:val="000000"/>
          <w:sz w:val="24"/>
          <w:szCs w:val="24"/>
        </w:rPr>
        <w:t>I macro – obiettivi individuati nel contesto della pianificazione regionale si caratterizzano per la tensione al</w:t>
      </w:r>
      <w:r>
        <w:rPr>
          <w:rFonts w:ascii="Arial" w:hAnsi="Arial" w:cs="Arial"/>
          <w:color w:val="000000"/>
          <w:sz w:val="24"/>
          <w:szCs w:val="24"/>
        </w:rPr>
        <w:t xml:space="preserve"> raggiungimento di percentuali di raccolta differenziata del 65/70 % entro il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2020 ,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alla</w:t>
      </w:r>
      <w:r w:rsidRPr="00923F5F">
        <w:rPr>
          <w:rFonts w:ascii="Arial" w:hAnsi="Arial" w:cs="Arial"/>
          <w:color w:val="000000"/>
          <w:sz w:val="24"/>
          <w:szCs w:val="24"/>
        </w:rPr>
        <w:t xml:space="preserve"> promozione di elevati livelli di comunicazione insieme al raggiungimento di ottimali prestazioni in termini di gestione integrata dei rifiuti urbani. Punta di eccellenza delle funzioni appartenenti all’</w:t>
      </w:r>
      <w:r>
        <w:rPr>
          <w:rFonts w:ascii="Arial" w:hAnsi="Arial" w:cs="Arial"/>
          <w:color w:val="000000"/>
          <w:sz w:val="24"/>
          <w:szCs w:val="24"/>
        </w:rPr>
        <w:t xml:space="preserve">EGRIB </w:t>
      </w:r>
      <w:r w:rsidRPr="00923F5F">
        <w:rPr>
          <w:rFonts w:ascii="Arial" w:hAnsi="Arial" w:cs="Arial"/>
          <w:color w:val="000000"/>
          <w:sz w:val="24"/>
          <w:szCs w:val="24"/>
        </w:rPr>
        <w:t>è naturalmente la predisposizione, l’adozione e l’approvazione del Piano d’Ambito (</w:t>
      </w:r>
      <w:proofErr w:type="spellStart"/>
      <w:r w:rsidRPr="00923F5F">
        <w:rPr>
          <w:rFonts w:ascii="Arial" w:hAnsi="Arial" w:cs="Arial"/>
          <w:color w:val="000000"/>
          <w:sz w:val="24"/>
          <w:szCs w:val="24"/>
        </w:rPr>
        <w:t>PdA</w:t>
      </w:r>
      <w:proofErr w:type="spellEnd"/>
      <w:r w:rsidRPr="00923F5F">
        <w:rPr>
          <w:rFonts w:ascii="Arial" w:hAnsi="Arial" w:cs="Arial"/>
          <w:color w:val="000000"/>
          <w:sz w:val="24"/>
          <w:szCs w:val="24"/>
        </w:rPr>
        <w:t>) il quale è un documento di natura dinamica proprio perché non disgiunto da quel successivo e permanente monitoraggio che garantisce il doveroso e lungimirante collegamento con l’evoluzione dei fabbisogni e con l’offerta impiantistica, definita dallo stesso legislatore, disponibile e necessaria.</w:t>
      </w:r>
    </w:p>
    <w:p w:rsidR="00923F5F" w:rsidRDefault="00923F5F" w:rsidP="00923F5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F5F">
        <w:rPr>
          <w:rFonts w:ascii="Arial" w:hAnsi="Arial" w:cs="Arial"/>
          <w:color w:val="000000"/>
          <w:sz w:val="24"/>
          <w:szCs w:val="24"/>
        </w:rPr>
        <w:t xml:space="preserve"> Una fase nevralgica all’interno della catena di trasmissione di funzioni e compiti in materia di pianificazione e gestione integrata dei rifiuti urbani è rappresentata dall’approvazione del cosiddetto contratto di servizio che </w:t>
      </w:r>
      <w:r>
        <w:rPr>
          <w:rFonts w:ascii="Arial" w:hAnsi="Arial" w:cs="Arial"/>
          <w:color w:val="000000"/>
          <w:sz w:val="24"/>
          <w:szCs w:val="24"/>
        </w:rPr>
        <w:t xml:space="preserve">dovrà legare i rapporti </w:t>
      </w:r>
      <w:r w:rsidRPr="00923F5F">
        <w:rPr>
          <w:rFonts w:ascii="Arial" w:hAnsi="Arial" w:cs="Arial"/>
          <w:color w:val="000000"/>
          <w:sz w:val="24"/>
          <w:szCs w:val="24"/>
        </w:rPr>
        <w:t xml:space="preserve"> tra l’</w:t>
      </w:r>
      <w:r>
        <w:rPr>
          <w:rFonts w:ascii="Arial" w:hAnsi="Arial" w:cs="Arial"/>
          <w:color w:val="000000"/>
          <w:sz w:val="24"/>
          <w:szCs w:val="24"/>
        </w:rPr>
        <w:t xml:space="preserve">Ente di Governo </w:t>
      </w:r>
      <w:r w:rsidRPr="00923F5F">
        <w:rPr>
          <w:rFonts w:ascii="Arial" w:hAnsi="Arial" w:cs="Arial"/>
          <w:color w:val="000000"/>
          <w:sz w:val="24"/>
          <w:szCs w:val="24"/>
        </w:rPr>
        <w:t xml:space="preserve"> ed i soggetti affidatari del servizio secondo lo schema </w:t>
      </w:r>
      <w:r w:rsidR="00365EFD">
        <w:rPr>
          <w:rFonts w:ascii="Arial" w:hAnsi="Arial" w:cs="Arial"/>
          <w:color w:val="000000"/>
          <w:sz w:val="24"/>
          <w:szCs w:val="24"/>
        </w:rPr>
        <w:t>tipo, che a seguito delle nuove competenze sui rifiuti assegnate al</w:t>
      </w:r>
      <w:r w:rsidR="00365EFD" w:rsidRPr="00365EFD">
        <w:rPr>
          <w:rFonts w:ascii="Arial" w:hAnsi="Arial" w:cs="Arial"/>
          <w:color w:val="000000"/>
          <w:sz w:val="24"/>
          <w:szCs w:val="24"/>
        </w:rPr>
        <w:t>l'Autorità per l'energia elettrica il gas e il sistema idrico (</w:t>
      </w:r>
      <w:proofErr w:type="spellStart"/>
      <w:r w:rsidR="00365EFD" w:rsidRPr="00365EFD">
        <w:rPr>
          <w:rFonts w:ascii="Arial" w:hAnsi="Arial" w:cs="Arial"/>
          <w:color w:val="000000"/>
          <w:sz w:val="24"/>
          <w:szCs w:val="24"/>
        </w:rPr>
        <w:t>Aeegsi</w:t>
      </w:r>
      <w:proofErr w:type="spellEnd"/>
      <w:r w:rsidR="00365EFD" w:rsidRPr="00365EFD">
        <w:rPr>
          <w:rFonts w:ascii="Arial" w:hAnsi="Arial" w:cs="Arial"/>
          <w:color w:val="000000"/>
          <w:sz w:val="24"/>
          <w:szCs w:val="24"/>
        </w:rPr>
        <w:t>) diventa ARERA</w:t>
      </w:r>
      <w:r w:rsidR="00365EFD">
        <w:rPr>
          <w:rFonts w:ascii="Arial" w:hAnsi="Arial" w:cs="Arial"/>
          <w:color w:val="000000"/>
          <w:sz w:val="24"/>
          <w:szCs w:val="24"/>
        </w:rPr>
        <w:t xml:space="preserve"> (</w:t>
      </w:r>
      <w:r w:rsidR="00365EFD" w:rsidRPr="00365EFD">
        <w:rPr>
          <w:rFonts w:ascii="Arial" w:hAnsi="Arial" w:cs="Arial"/>
          <w:color w:val="000000"/>
          <w:sz w:val="24"/>
          <w:szCs w:val="24"/>
        </w:rPr>
        <w:t>Autorità di Regolazione per Energia Reti e Ambiente.)</w:t>
      </w:r>
      <w:r w:rsidR="00365EFD">
        <w:rPr>
          <w:rFonts w:ascii="Arial" w:hAnsi="Arial" w:cs="Arial"/>
          <w:color w:val="000000"/>
          <w:sz w:val="24"/>
          <w:szCs w:val="24"/>
        </w:rPr>
        <w:t xml:space="preserve">, dovrà essere definito dalla stessa Autorità </w:t>
      </w:r>
      <w:r w:rsidR="00365EFD" w:rsidRPr="00365EFD">
        <w:rPr>
          <w:rFonts w:ascii="Arial" w:hAnsi="Arial" w:cs="Arial"/>
          <w:color w:val="000000"/>
          <w:sz w:val="24"/>
          <w:szCs w:val="24"/>
        </w:rPr>
        <w:t>con il chiaro obiettivo di rendere uniforme il livello delle prestazioni in tutto il territorio nazionale</w:t>
      </w:r>
      <w:r w:rsidR="00365EFD">
        <w:rPr>
          <w:rFonts w:ascii="Arial" w:hAnsi="Arial" w:cs="Arial"/>
          <w:color w:val="000000"/>
          <w:sz w:val="24"/>
          <w:szCs w:val="24"/>
        </w:rPr>
        <w:t>.</w:t>
      </w:r>
    </w:p>
    <w:p w:rsidR="00923F5F" w:rsidRPr="00923F5F" w:rsidRDefault="00482436" w:rsidP="00923F5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923F5F">
        <w:rPr>
          <w:rFonts w:ascii="Arial" w:hAnsi="Arial" w:cs="Arial"/>
          <w:color w:val="000000"/>
          <w:sz w:val="24"/>
          <w:szCs w:val="24"/>
        </w:rPr>
        <w:t>ccorre ribadire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inoltre </w:t>
      </w:r>
      <w:r w:rsidR="00923F5F">
        <w:rPr>
          <w:rFonts w:ascii="Arial" w:hAnsi="Arial" w:cs="Arial"/>
          <w:color w:val="000000"/>
          <w:sz w:val="24"/>
          <w:szCs w:val="24"/>
        </w:rPr>
        <w:t xml:space="preserve"> come</w:t>
      </w:r>
      <w:proofErr w:type="gramEnd"/>
      <w:r w:rsidR="00365EFD">
        <w:rPr>
          <w:rFonts w:ascii="Arial" w:hAnsi="Arial" w:cs="Arial"/>
          <w:color w:val="000000"/>
          <w:sz w:val="24"/>
          <w:szCs w:val="24"/>
        </w:rPr>
        <w:t xml:space="preserve"> la persecuzione de</w:t>
      </w:r>
      <w:r w:rsidR="00923F5F">
        <w:rPr>
          <w:rFonts w:ascii="Arial" w:hAnsi="Arial" w:cs="Arial"/>
          <w:color w:val="000000"/>
          <w:sz w:val="24"/>
          <w:szCs w:val="24"/>
        </w:rPr>
        <w:t xml:space="preserve">gli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23F5F">
        <w:rPr>
          <w:rFonts w:ascii="Arial" w:hAnsi="Arial" w:cs="Arial"/>
          <w:color w:val="000000"/>
          <w:sz w:val="24"/>
          <w:szCs w:val="24"/>
        </w:rPr>
        <w:t>obiettivi sono al momento condizionati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23F5F">
        <w:rPr>
          <w:rFonts w:ascii="Arial" w:hAnsi="Arial" w:cs="Arial"/>
          <w:color w:val="000000"/>
          <w:sz w:val="24"/>
          <w:szCs w:val="24"/>
        </w:rPr>
        <w:t>dalla mancata revisione della L.R. 6/2001 che risulta ancorata alla precedente pianificazione (</w:t>
      </w:r>
      <w:r w:rsidR="00365EFD">
        <w:rPr>
          <w:rFonts w:ascii="Arial" w:hAnsi="Arial" w:cs="Arial"/>
          <w:color w:val="000000"/>
          <w:sz w:val="24"/>
          <w:szCs w:val="24"/>
        </w:rPr>
        <w:t xml:space="preserve">L.R. n. 6 del 2 febbraio 2001 </w:t>
      </w:r>
      <w:r w:rsidR="00923F5F" w:rsidRPr="00365EFD">
        <w:rPr>
          <w:rFonts w:ascii="Arial" w:hAnsi="Arial" w:cs="Arial"/>
          <w:color w:val="000000"/>
          <w:sz w:val="24"/>
          <w:szCs w:val="24"/>
        </w:rPr>
        <w:t>"Disciplina delle attività di gestione dei rifiuti ed approvazione del relativo piano"</w:t>
      </w:r>
      <w:r w:rsidR="00923F5F">
        <w:rPr>
          <w:rFonts w:ascii="Arial" w:hAnsi="Arial" w:cs="Arial"/>
          <w:color w:val="000000"/>
          <w:sz w:val="24"/>
          <w:szCs w:val="24"/>
        </w:rPr>
        <w:t xml:space="preserve">  </w:t>
      </w:r>
      <w:r w:rsidR="00365EFD">
        <w:rPr>
          <w:rFonts w:ascii="Arial" w:hAnsi="Arial" w:cs="Arial"/>
          <w:color w:val="000000"/>
          <w:sz w:val="24"/>
          <w:szCs w:val="24"/>
        </w:rPr>
        <w:t xml:space="preserve">)   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="00365E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potranno trovare differenti procedure di attuazione  in funzione dei </w:t>
      </w:r>
      <w:r w:rsidRPr="00482436">
        <w:rPr>
          <w:rFonts w:ascii="Arial" w:hAnsi="Arial" w:cs="Arial"/>
          <w:color w:val="000000"/>
          <w:sz w:val="24"/>
          <w:szCs w:val="24"/>
        </w:rPr>
        <w:t>compiti di regolazione e controllo che sono  attribuiti all’ARERA  in materia di ciclo dei rifiuti.</w:t>
      </w:r>
    </w:p>
    <w:p w:rsidR="00923F5F" w:rsidRDefault="00923F5F" w:rsidP="00535F7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5F7D" w:rsidRDefault="00775D9F" w:rsidP="00535F7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BF7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 </w:t>
      </w:r>
      <w:r w:rsidR="00535F7D">
        <w:rPr>
          <w:rFonts w:ascii="Arial" w:hAnsi="Arial" w:cs="Arial"/>
          <w:color w:val="000000"/>
          <w:sz w:val="24"/>
          <w:szCs w:val="24"/>
        </w:rPr>
        <w:t xml:space="preserve">Senza entrare ulteriormente nel </w:t>
      </w:r>
      <w:proofErr w:type="gramStart"/>
      <w:r w:rsidR="00535F7D">
        <w:rPr>
          <w:rFonts w:ascii="Arial" w:hAnsi="Arial" w:cs="Arial"/>
          <w:color w:val="000000"/>
          <w:sz w:val="24"/>
          <w:szCs w:val="24"/>
        </w:rPr>
        <w:t xml:space="preserve">dettaglio </w:t>
      </w:r>
      <w:r>
        <w:rPr>
          <w:rFonts w:ascii="Arial" w:hAnsi="Arial" w:cs="Arial"/>
          <w:color w:val="000000"/>
          <w:sz w:val="24"/>
          <w:szCs w:val="24"/>
        </w:rPr>
        <w:t xml:space="preserve"> si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5F7D">
        <w:rPr>
          <w:rFonts w:ascii="Arial" w:hAnsi="Arial" w:cs="Arial"/>
          <w:color w:val="000000"/>
          <w:sz w:val="24"/>
          <w:szCs w:val="24"/>
        </w:rPr>
        <w:t>rimanda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5F7D">
        <w:rPr>
          <w:rFonts w:ascii="Arial" w:hAnsi="Arial" w:cs="Arial"/>
          <w:color w:val="000000"/>
          <w:sz w:val="24"/>
          <w:szCs w:val="24"/>
        </w:rPr>
        <w:t xml:space="preserve"> alla</w:t>
      </w:r>
      <w:r>
        <w:rPr>
          <w:rFonts w:ascii="Arial" w:hAnsi="Arial" w:cs="Arial"/>
          <w:color w:val="000000"/>
          <w:sz w:val="24"/>
          <w:szCs w:val="24"/>
        </w:rPr>
        <w:t xml:space="preserve"> puntuale analisi di cui alla</w:t>
      </w:r>
      <w:r w:rsidR="00535F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535F7D">
        <w:rPr>
          <w:rFonts w:ascii="Arial" w:hAnsi="Arial" w:cs="Arial"/>
          <w:color w:val="000000"/>
          <w:sz w:val="24"/>
          <w:szCs w:val="24"/>
        </w:rPr>
        <w:t>elibera Assemblea EGRIB n. 3  del 31/03/2017 avent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535F7D">
        <w:rPr>
          <w:rFonts w:ascii="Arial" w:hAnsi="Arial" w:cs="Arial"/>
          <w:color w:val="000000"/>
          <w:sz w:val="24"/>
          <w:szCs w:val="24"/>
        </w:rPr>
        <w:t xml:space="preserve"> ad oggetto “presentazione del Documento Preliminare del Piano d’Ambito Rifiuti</w:t>
      </w:r>
      <w:r w:rsidR="003A20E9">
        <w:rPr>
          <w:rFonts w:ascii="Arial" w:hAnsi="Arial" w:cs="Arial"/>
          <w:color w:val="000000"/>
          <w:sz w:val="24"/>
          <w:szCs w:val="24"/>
        </w:rPr>
        <w:t xml:space="preserve"> </w:t>
      </w:r>
      <w:r w:rsidR="00535F7D">
        <w:rPr>
          <w:rFonts w:ascii="Arial" w:hAnsi="Arial" w:cs="Arial"/>
          <w:color w:val="000000"/>
          <w:sz w:val="24"/>
          <w:szCs w:val="24"/>
        </w:rPr>
        <w:t>-</w:t>
      </w:r>
      <w:r w:rsidR="003A20E9">
        <w:rPr>
          <w:rFonts w:ascii="Arial" w:hAnsi="Arial" w:cs="Arial"/>
          <w:color w:val="000000"/>
          <w:sz w:val="24"/>
          <w:szCs w:val="24"/>
        </w:rPr>
        <w:t xml:space="preserve"> </w:t>
      </w:r>
      <w:r w:rsidR="00535F7D">
        <w:rPr>
          <w:rFonts w:ascii="Arial" w:hAnsi="Arial" w:cs="Arial"/>
          <w:color w:val="000000"/>
          <w:sz w:val="24"/>
          <w:szCs w:val="24"/>
        </w:rPr>
        <w:t>Approvazione linee di indirizzo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2436">
        <w:rPr>
          <w:rFonts w:ascii="Arial" w:hAnsi="Arial" w:cs="Arial"/>
          <w:color w:val="000000"/>
          <w:sz w:val="24"/>
          <w:szCs w:val="24"/>
        </w:rPr>
        <w:t>.</w:t>
      </w:r>
    </w:p>
    <w:p w:rsidR="00482436" w:rsidRDefault="00775D9F" w:rsidP="0048243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F5F">
        <w:rPr>
          <w:rFonts w:ascii="Arial" w:hAnsi="Arial" w:cs="Arial"/>
          <w:color w:val="000000"/>
          <w:sz w:val="24"/>
          <w:szCs w:val="24"/>
        </w:rPr>
        <w:t>Nell</w:t>
      </w:r>
      <w:r w:rsidR="003A20E9">
        <w:rPr>
          <w:rFonts w:ascii="Arial" w:hAnsi="Arial" w:cs="Arial"/>
          <w:color w:val="000000"/>
          <w:sz w:val="24"/>
          <w:szCs w:val="24"/>
        </w:rPr>
        <w:t>’o</w:t>
      </w:r>
      <w:r w:rsidRPr="00923F5F">
        <w:rPr>
          <w:rFonts w:ascii="Arial" w:hAnsi="Arial" w:cs="Arial"/>
          <w:color w:val="000000"/>
          <w:sz w:val="24"/>
          <w:szCs w:val="24"/>
        </w:rPr>
        <w:t xml:space="preserve">ttica di tale documento che ha dettato le linee programmatiche per il servizio rifiuti </w:t>
      </w:r>
      <w:proofErr w:type="spellStart"/>
      <w:r w:rsidRPr="00923F5F">
        <w:rPr>
          <w:rFonts w:ascii="Arial" w:hAnsi="Arial" w:cs="Arial"/>
          <w:color w:val="000000"/>
          <w:sz w:val="24"/>
          <w:szCs w:val="24"/>
        </w:rPr>
        <w:t>dellEGRIB</w:t>
      </w:r>
      <w:proofErr w:type="spellEnd"/>
      <w:r w:rsidRPr="00923F5F">
        <w:rPr>
          <w:rFonts w:ascii="Arial" w:hAnsi="Arial" w:cs="Arial"/>
          <w:color w:val="000000"/>
          <w:sz w:val="24"/>
          <w:szCs w:val="24"/>
        </w:rPr>
        <w:t xml:space="preserve"> </w:t>
      </w:r>
      <w:r w:rsidR="00923F5F">
        <w:rPr>
          <w:rFonts w:ascii="Arial" w:hAnsi="Arial" w:cs="Arial"/>
          <w:color w:val="000000"/>
          <w:sz w:val="24"/>
          <w:szCs w:val="24"/>
        </w:rPr>
        <w:t xml:space="preserve">sono </w:t>
      </w:r>
      <w:r w:rsidR="003A20E9">
        <w:rPr>
          <w:rFonts w:ascii="Arial" w:hAnsi="Arial" w:cs="Arial"/>
          <w:color w:val="000000"/>
          <w:sz w:val="24"/>
          <w:szCs w:val="24"/>
        </w:rPr>
        <w:t xml:space="preserve">stati </w:t>
      </w:r>
      <w:r w:rsidR="00923F5F">
        <w:rPr>
          <w:rFonts w:ascii="Arial" w:hAnsi="Arial" w:cs="Arial"/>
          <w:color w:val="000000"/>
          <w:sz w:val="24"/>
          <w:szCs w:val="24"/>
        </w:rPr>
        <w:t>sviluppati gli obiettivi strategici per il triennio 2018-2020</w:t>
      </w:r>
      <w:r w:rsidR="00482436" w:rsidRPr="00482436">
        <w:rPr>
          <w:rFonts w:ascii="Arial" w:hAnsi="Arial" w:cs="Arial"/>
          <w:color w:val="000000"/>
          <w:sz w:val="24"/>
          <w:szCs w:val="24"/>
        </w:rPr>
        <w:t xml:space="preserve"> </w:t>
      </w:r>
      <w:r w:rsidR="00482436">
        <w:rPr>
          <w:rFonts w:ascii="Arial" w:hAnsi="Arial" w:cs="Arial"/>
          <w:color w:val="000000"/>
          <w:sz w:val="24"/>
          <w:szCs w:val="24"/>
        </w:rPr>
        <w:t>con le precisazioni sopra riportate.</w:t>
      </w:r>
    </w:p>
    <w:p w:rsidR="00482436" w:rsidRDefault="00482436">
      <w:pPr>
        <w:rPr>
          <w:rFonts w:ascii="Arial" w:hAnsi="Arial" w:cs="Arial"/>
          <w:color w:val="000000"/>
          <w:sz w:val="24"/>
          <w:szCs w:val="24"/>
        </w:rPr>
        <w:sectPr w:rsidR="00482436" w:rsidSect="00A1353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ED7AE0" w:rsidRPr="00ED7AE0" w:rsidRDefault="00ED7AE0" w:rsidP="00ED7AE0">
      <w:pPr>
        <w:rPr>
          <w:b/>
          <w:color w:val="FF0000"/>
        </w:rPr>
      </w:pPr>
      <w:bookmarkStart w:id="1" w:name="_Toc476566639"/>
      <w:bookmarkStart w:id="2" w:name="_Toc476566164"/>
      <w:bookmarkStart w:id="3" w:name="_Toc476566162"/>
      <w:bookmarkStart w:id="4" w:name="_Toc476566637"/>
      <w:r w:rsidRPr="00ED7AE0">
        <w:rPr>
          <w:b/>
        </w:rPr>
        <w:lastRenderedPageBreak/>
        <w:t xml:space="preserve">Servizio </w:t>
      </w:r>
      <w:r>
        <w:rPr>
          <w:b/>
        </w:rPr>
        <w:t>Rifiuti</w:t>
      </w:r>
      <w:r w:rsidRPr="00ED7AE0">
        <w:rPr>
          <w:b/>
        </w:rPr>
        <w:t>: Obiettivi strategici</w:t>
      </w:r>
      <w:bookmarkEnd w:id="1"/>
      <w:bookmarkEnd w:id="2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94"/>
        <w:gridCol w:w="2409"/>
        <w:gridCol w:w="2552"/>
        <w:gridCol w:w="709"/>
      </w:tblGrid>
      <w:tr w:rsidR="00482436" w:rsidRPr="001826C5" w:rsidTr="00A42DCA">
        <w:trPr>
          <w:trHeight w:val="68"/>
        </w:trPr>
        <w:tc>
          <w:tcPr>
            <w:tcW w:w="4786" w:type="dxa"/>
            <w:shd w:val="clear" w:color="auto" w:fill="auto"/>
          </w:tcPr>
          <w:bookmarkEnd w:id="3"/>
          <w:bookmarkEnd w:id="4"/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Obiettivi</w:t>
            </w:r>
          </w:p>
        </w:tc>
        <w:tc>
          <w:tcPr>
            <w:tcW w:w="2126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2694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Target 2018</w:t>
            </w:r>
          </w:p>
        </w:tc>
        <w:tc>
          <w:tcPr>
            <w:tcW w:w="2409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Target 2019</w:t>
            </w:r>
          </w:p>
        </w:tc>
        <w:tc>
          <w:tcPr>
            <w:tcW w:w="2552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Target 2020</w:t>
            </w:r>
          </w:p>
        </w:tc>
        <w:tc>
          <w:tcPr>
            <w:tcW w:w="709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482436" w:rsidRPr="001826C5" w:rsidTr="00A42DCA">
        <w:trPr>
          <w:trHeight w:val="68"/>
        </w:trPr>
        <w:tc>
          <w:tcPr>
            <w:tcW w:w="4786" w:type="dxa"/>
            <w:shd w:val="clear" w:color="auto" w:fill="EDEDED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Redazione piano ambito subentro gestioni e/o nuovi affidamenti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 xml:space="preserve"> ed Implementazione </w:t>
            </w:r>
            <w:proofErr w:type="gramStart"/>
            <w:r w:rsidR="00014A94">
              <w:rPr>
                <w:rFonts w:ascii="Calibri" w:hAnsi="Calibri" w:cs="Calibri"/>
                <w:b/>
                <w:sz w:val="18"/>
                <w:szCs w:val="18"/>
              </w:rPr>
              <w:t>nuove  aree</w:t>
            </w:r>
            <w:proofErr w:type="gramEnd"/>
            <w:r w:rsidR="00014A94">
              <w:rPr>
                <w:rFonts w:ascii="Calibri" w:hAnsi="Calibri" w:cs="Calibri"/>
                <w:b/>
                <w:sz w:val="18"/>
                <w:szCs w:val="18"/>
              </w:rPr>
              <w:t xml:space="preserve"> ottimali di raccolta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82436" w:rsidRPr="001826C5" w:rsidRDefault="00482436" w:rsidP="00482436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Fasi di approvazione piano d’ambito</w:t>
            </w:r>
          </w:p>
        </w:tc>
        <w:tc>
          <w:tcPr>
            <w:tcW w:w="2694" w:type="dxa"/>
            <w:shd w:val="clear" w:color="auto" w:fill="auto"/>
          </w:tcPr>
          <w:p w:rsidR="00482436" w:rsidRPr="00054D54" w:rsidRDefault="00482436" w:rsidP="00482436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ealizzazione </w:t>
            </w:r>
            <w:proofErr w:type="gramStart"/>
            <w:r w:rsidRPr="001826C5">
              <w:rPr>
                <w:rFonts w:ascii="Calibri" w:hAnsi="Calibri" w:cs="Calibri"/>
                <w:sz w:val="18"/>
                <w:szCs w:val="18"/>
              </w:rPr>
              <w:t xml:space="preserve">bando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affidamento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redazione piano d’ambito e/o attività propedeutiche</w:t>
            </w:r>
            <w:r w:rsidR="00A42DCA">
              <w:rPr>
                <w:rFonts w:ascii="Calibri" w:hAnsi="Calibri" w:cs="Calibri"/>
                <w:sz w:val="18"/>
                <w:szCs w:val="18"/>
              </w:rPr>
              <w:t xml:space="preserve"> – analisi gestioni in essere </w:t>
            </w:r>
          </w:p>
        </w:tc>
        <w:tc>
          <w:tcPr>
            <w:tcW w:w="2409" w:type="dxa"/>
            <w:shd w:val="clear" w:color="auto" w:fill="auto"/>
          </w:tcPr>
          <w:p w:rsidR="00482436" w:rsidRPr="00054D54" w:rsidRDefault="00482436" w:rsidP="00482436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Approvazione definitiva piano d’ambito e modalità di gestione</w:t>
            </w:r>
          </w:p>
        </w:tc>
        <w:tc>
          <w:tcPr>
            <w:tcW w:w="2552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Subentro gestioni </w:t>
            </w:r>
          </w:p>
          <w:p w:rsidR="00482436" w:rsidRPr="001826C5" w:rsidRDefault="00482436" w:rsidP="00482436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e/o predisposizione bandi nuovi affidamenti</w:t>
            </w:r>
          </w:p>
        </w:tc>
        <w:tc>
          <w:tcPr>
            <w:tcW w:w="709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  <w:tr w:rsidR="00482436" w:rsidRPr="001826C5" w:rsidTr="00A42DCA">
        <w:trPr>
          <w:trHeight w:val="68"/>
        </w:trPr>
        <w:tc>
          <w:tcPr>
            <w:tcW w:w="4786" w:type="dxa"/>
            <w:shd w:val="clear" w:color="auto" w:fill="EDEDED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Procedure Piattaforma WEB – ORSO 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(osservatorio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sovrarregionale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rifiuti) DGR 1163/2017</w:t>
            </w:r>
            <w:r w:rsidR="00A42DC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82436" w:rsidRPr="00AB5121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Report annuali</w:t>
            </w:r>
          </w:p>
        </w:tc>
        <w:tc>
          <w:tcPr>
            <w:tcW w:w="2694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Attivazione procedure web-ORSO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Supporto ai comuni</w:t>
            </w:r>
          </w:p>
          <w:p w:rsidR="00482436" w:rsidRPr="00FD3240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Redazione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report  annuale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0A5B">
              <w:rPr>
                <w:rFonts w:ascii="Calibri" w:hAnsi="Calibri" w:cs="Calibri"/>
                <w:sz w:val="18"/>
                <w:szCs w:val="18"/>
              </w:rPr>
              <w:t xml:space="preserve">Implementazione a regime piattaforma web </w:t>
            </w:r>
            <w:proofErr w:type="spellStart"/>
            <w:r w:rsidRPr="00C40A5B">
              <w:rPr>
                <w:rFonts w:ascii="Calibri" w:hAnsi="Calibri" w:cs="Calibri"/>
                <w:sz w:val="18"/>
                <w:szCs w:val="18"/>
              </w:rPr>
              <w:t>ORSo</w:t>
            </w:r>
            <w:proofErr w:type="spellEnd"/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Supporto ai comuni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Report annuale </w:t>
            </w:r>
          </w:p>
        </w:tc>
        <w:tc>
          <w:tcPr>
            <w:tcW w:w="2552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Implementazione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diretta  dati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per sub ambiti ottimali dove si è effettuato il subentro nelle gestioni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Supporto ai comuni</w:t>
            </w:r>
          </w:p>
          <w:p w:rsidR="00482436" w:rsidRPr="001826C5" w:rsidRDefault="00482436" w:rsidP="00482436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Report annuale</w:t>
            </w:r>
          </w:p>
        </w:tc>
        <w:tc>
          <w:tcPr>
            <w:tcW w:w="709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  <w:tr w:rsidR="00482436" w:rsidRPr="001826C5" w:rsidTr="00A42DCA">
        <w:trPr>
          <w:trHeight w:val="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82436" w:rsidRPr="001826C5" w:rsidRDefault="00014A94" w:rsidP="007D3355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482436"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. Regolazione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482436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Predisposizione  atti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di regolazione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940171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1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Predisposizione Regolamenti SGR           </w:t>
            </w:r>
          </w:p>
          <w:p w:rsidR="00482436" w:rsidRPr="00940171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82436" w:rsidRPr="00940171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940171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171">
              <w:rPr>
                <w:rFonts w:ascii="Calibri" w:hAnsi="Calibri" w:cs="Calibri"/>
                <w:color w:val="000000"/>
                <w:sz w:val="18"/>
                <w:szCs w:val="18"/>
              </w:rPr>
              <w:t>Applicazione e monitoraggio</w:t>
            </w:r>
          </w:p>
          <w:p w:rsidR="00482436" w:rsidRPr="00940171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82436" w:rsidRPr="00940171" w:rsidRDefault="00482436" w:rsidP="007D3355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940171" w:rsidRDefault="00482436" w:rsidP="00482436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394B">
              <w:rPr>
                <w:rFonts w:ascii="Calibri" w:hAnsi="Calibri" w:cs="Calibri"/>
                <w:color w:val="000000"/>
                <w:sz w:val="18"/>
                <w:szCs w:val="18"/>
              </w:rPr>
              <w:t>Applicazione e monitoraggio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  <w:tr w:rsidR="00482436" w:rsidRPr="001826C5" w:rsidTr="00A42DCA">
        <w:trPr>
          <w:trHeight w:val="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82436" w:rsidRPr="001826C5" w:rsidRDefault="00014A9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482436">
              <w:rPr>
                <w:rFonts w:ascii="Calibri" w:hAnsi="Calibri" w:cs="Calibri"/>
                <w:b/>
                <w:sz w:val="18"/>
                <w:szCs w:val="18"/>
              </w:rPr>
              <w:t>.Piano Interventi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Pianificazione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Primo piano interventi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-  sottoscrizione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accordi con Enti titolari dell’impiantistica 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Aggiornamento pianificazione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Aggiornamento pianificazione – piano interventi associato a piano d’ambito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SGR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2436" w:rsidRPr="001826C5" w:rsidTr="00A42DCA">
        <w:trPr>
          <w:trHeight w:val="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82436" w:rsidRPr="001826C5" w:rsidRDefault="00014A9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482436">
              <w:rPr>
                <w:rFonts w:ascii="Calibri" w:hAnsi="Calibri" w:cs="Calibri"/>
                <w:b/>
                <w:sz w:val="18"/>
                <w:szCs w:val="18"/>
              </w:rPr>
              <w:t>. attività di comunicazione informazione su ciclo rifiuti C/o scuole dell’infanzia, primarie e secondarie di I^ grado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Piani di formazione/informazione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Implementazione avviso per interventi diretti c/o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scuole  primarie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di I e II ordine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Attività di formazione in aula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Implementazione avviso per interventi diretti c/o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scuole  primarie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di I e II ordine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Attività di formazione in aula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Implementazione avviso per interventi diretti c/o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scuole  primarie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di I e II ordine</w:t>
            </w:r>
          </w:p>
          <w:p w:rsidR="00482436" w:rsidRPr="001826C5" w:rsidRDefault="00482436" w:rsidP="00482436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Attività di formazione in aula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</w:tbl>
    <w:p w:rsidR="00482436" w:rsidRDefault="00482436" w:rsidP="00482436">
      <w:pPr>
        <w:rPr>
          <w:rFonts w:ascii="Calibri" w:hAnsi="Calibri" w:cs="Calibri"/>
        </w:rPr>
      </w:pPr>
    </w:p>
    <w:p w:rsidR="00ED7AE0" w:rsidRPr="001826C5" w:rsidRDefault="00ED7AE0" w:rsidP="00482436">
      <w:pPr>
        <w:rPr>
          <w:rFonts w:ascii="Calibri" w:hAnsi="Calibri" w:cs="Calibri"/>
        </w:rPr>
      </w:pPr>
    </w:p>
    <w:p w:rsidR="00482436" w:rsidRPr="00700D87" w:rsidRDefault="00ED7AE0" w:rsidP="00482436">
      <w:pPr>
        <w:pStyle w:val="Titolo2"/>
        <w:numPr>
          <w:ilvl w:val="0"/>
          <w:numId w:val="0"/>
        </w:numPr>
        <w:ind w:left="576" w:hanging="576"/>
        <w:rPr>
          <w:rFonts w:ascii="Calibri" w:hAnsi="Calibri" w:cs="Calibri"/>
          <w:color w:val="auto"/>
        </w:rPr>
      </w:pPr>
      <w:bookmarkStart w:id="5" w:name="_Toc476566163"/>
      <w:bookmarkStart w:id="6" w:name="_Toc476566638"/>
      <w:r>
        <w:rPr>
          <w:u w:val="none"/>
        </w:rPr>
        <w:lastRenderedPageBreak/>
        <w:t>Servizio Rifiuti</w:t>
      </w:r>
      <w:r w:rsidR="00482436" w:rsidRPr="00482436">
        <w:rPr>
          <w:u w:val="none"/>
        </w:rPr>
        <w:t>:</w:t>
      </w:r>
      <w:r w:rsidR="00482436">
        <w:t xml:space="preserve"> Azioni/Obiettivi operativi</w:t>
      </w:r>
      <w:bookmarkEnd w:id="5"/>
      <w:bookmarkEnd w:id="6"/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15"/>
        <w:gridCol w:w="2829"/>
        <w:gridCol w:w="2410"/>
        <w:gridCol w:w="2410"/>
        <w:gridCol w:w="831"/>
      </w:tblGrid>
      <w:tr w:rsidR="00482436" w:rsidRPr="001826C5" w:rsidTr="007D3355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SGR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1.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Redazione piano ambito e subentro gestioni e/o nuovi affidamenti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Azioni/Obiettivi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operativi</w:t>
            </w:r>
          </w:p>
        </w:tc>
        <w:tc>
          <w:tcPr>
            <w:tcW w:w="2415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2829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2020</w:t>
            </w: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82436" w:rsidRPr="00A706F5" w:rsidRDefault="00482436" w:rsidP="00A42DCA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SGR 1.1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Piano d’ambito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 xml:space="preserve">Stato </w:t>
            </w:r>
            <w:proofErr w:type="gramStart"/>
            <w:r w:rsidRPr="001826C5">
              <w:rPr>
                <w:rFonts w:ascii="Calibri" w:hAnsi="Calibri" w:cs="Calibri"/>
                <w:sz w:val="18"/>
                <w:szCs w:val="18"/>
              </w:rPr>
              <w:t xml:space="preserve">avanzamento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pianificazione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Redazione bando e disciplinare tecnico per affidamento redazione piano d’ambito e/o attività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supporto  –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redazione documentazione da sottoporre a VAS (anche mediante affidamento all’esterno congiunto o disgiunto dall’attività di ricognizione gestioni)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fase VAS conclusa</w:t>
            </w: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Procedure di approvazione definitiva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Piano d’ambito con piano interventi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SGR </w:t>
            </w:r>
            <w:proofErr w:type="gramStart"/>
            <w:r w:rsidRPr="001826C5">
              <w:rPr>
                <w:rFonts w:ascii="Calibri" w:hAnsi="Calibri" w:cs="Calibri"/>
                <w:b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  subentro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gestioni e/o nuovi affidamenti</w:t>
            </w:r>
          </w:p>
          <w:p w:rsidR="00482436" w:rsidRPr="00A706F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 xml:space="preserve">Stato </w:t>
            </w:r>
            <w:proofErr w:type="gramStart"/>
            <w:r w:rsidRPr="001826C5">
              <w:rPr>
                <w:rFonts w:ascii="Calibri" w:hAnsi="Calibri" w:cs="Calibri"/>
                <w:sz w:val="18"/>
                <w:szCs w:val="18"/>
              </w:rPr>
              <w:t xml:space="preserve">avanzamento </w:t>
            </w:r>
            <w:r w:rsidR="00A42DCA">
              <w:rPr>
                <w:rFonts w:ascii="Calibri" w:hAnsi="Calibri" w:cs="Calibri"/>
                <w:sz w:val="18"/>
                <w:szCs w:val="18"/>
              </w:rPr>
              <w:t xml:space="preserve"> aggregazioni</w:t>
            </w:r>
            <w:proofErr w:type="gramEnd"/>
            <w:r w:rsidR="00014A94">
              <w:rPr>
                <w:rFonts w:ascii="Calibri" w:hAnsi="Calibri" w:cs="Calibri"/>
                <w:sz w:val="18"/>
                <w:szCs w:val="18"/>
              </w:rPr>
              <w:t xml:space="preserve"> – database modalità affidamenti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672DF">
              <w:rPr>
                <w:rFonts w:ascii="Calibri" w:hAnsi="Calibri" w:cs="Calibri"/>
                <w:sz w:val="18"/>
                <w:szCs w:val="18"/>
              </w:rPr>
              <w:t>ricognizione degli affidamenti in essere al fine di valutare la conformità degli stessi alla normativa vigente, nell’ottica di una corretta gestione del servizio di gestione integrata dei rifiuti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(anche mediante affidamento all’esterno)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Default="00A42DCA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Valutazione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gestioni 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scelta definitiva modello di gestione,  eventuale subentro in gestioni in essere per favorire aggregazione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A42DCA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affidamenti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  <w:tr w:rsidR="00482436" w:rsidRPr="001826C5" w:rsidTr="007D3355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A42DCA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SGR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2.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2DCA">
              <w:rPr>
                <w:rFonts w:ascii="Calibri" w:hAnsi="Calibri" w:cs="Calibri"/>
                <w:b/>
                <w:sz w:val="18"/>
                <w:szCs w:val="18"/>
              </w:rPr>
              <w:t xml:space="preserve">Procedure Piattaforma WEB – </w:t>
            </w:r>
            <w:proofErr w:type="gramStart"/>
            <w:r w:rsidR="00A42DCA">
              <w:rPr>
                <w:rFonts w:ascii="Calibri" w:hAnsi="Calibri" w:cs="Calibri"/>
                <w:b/>
                <w:sz w:val="18"/>
                <w:szCs w:val="18"/>
              </w:rPr>
              <w:t>ORSO  (</w:t>
            </w:r>
            <w:proofErr w:type="gramEnd"/>
            <w:r w:rsidR="00A42DCA">
              <w:rPr>
                <w:rFonts w:ascii="Calibri" w:hAnsi="Calibri" w:cs="Calibri"/>
                <w:b/>
                <w:sz w:val="18"/>
                <w:szCs w:val="18"/>
              </w:rPr>
              <w:t xml:space="preserve">osservatorio </w:t>
            </w:r>
            <w:proofErr w:type="spellStart"/>
            <w:r w:rsidR="00A42DCA">
              <w:rPr>
                <w:rFonts w:ascii="Calibri" w:hAnsi="Calibri" w:cs="Calibri"/>
                <w:b/>
                <w:sz w:val="18"/>
                <w:szCs w:val="18"/>
              </w:rPr>
              <w:t>sovrarregionale</w:t>
            </w:r>
            <w:proofErr w:type="spellEnd"/>
            <w:r w:rsidR="00A42DCA">
              <w:rPr>
                <w:rFonts w:ascii="Calibri" w:hAnsi="Calibri" w:cs="Calibri"/>
                <w:b/>
                <w:sz w:val="18"/>
                <w:szCs w:val="18"/>
              </w:rPr>
              <w:t xml:space="preserve"> rifiuti) DGR 1163/2017)</w:t>
            </w:r>
          </w:p>
          <w:p w:rsidR="00482436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Azioni/Obiettivi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operativi</w:t>
            </w:r>
          </w:p>
        </w:tc>
        <w:tc>
          <w:tcPr>
            <w:tcW w:w="2415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2829" w:type="dxa"/>
            <w:shd w:val="clear" w:color="auto" w:fill="auto"/>
          </w:tcPr>
          <w:p w:rsidR="00482436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A42DCA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A42DCA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A42DC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EDEDED"/>
          </w:tcPr>
          <w:p w:rsidR="00482436" w:rsidRPr="001826C5" w:rsidRDefault="00482436" w:rsidP="00A42DCA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SGR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2.1.</w:t>
            </w:r>
            <w:r w:rsidR="00A42DCA">
              <w:rPr>
                <w:rFonts w:ascii="Calibri" w:hAnsi="Calibri" w:cs="Calibri"/>
                <w:b/>
                <w:sz w:val="18"/>
                <w:szCs w:val="18"/>
              </w:rPr>
              <w:t xml:space="preserve"> Implementazione dati</w:t>
            </w:r>
          </w:p>
        </w:tc>
        <w:tc>
          <w:tcPr>
            <w:tcW w:w="2415" w:type="dxa"/>
            <w:shd w:val="clear" w:color="auto" w:fill="auto"/>
          </w:tcPr>
          <w:p w:rsidR="00482436" w:rsidRPr="001826C5" w:rsidRDefault="00A42DCA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Dati disponibili sulla piattaforma completezza</w:t>
            </w:r>
          </w:p>
        </w:tc>
        <w:tc>
          <w:tcPr>
            <w:tcW w:w="2829" w:type="dxa"/>
            <w:shd w:val="clear" w:color="auto" w:fill="auto"/>
          </w:tcPr>
          <w:p w:rsidR="00482436" w:rsidRPr="001826C5" w:rsidRDefault="00A42DCA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Avvio piattaforma, supporto ai comuni per la compilazione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014A94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Supporto ai comuni per la compilazione - 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014A94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Compilazione diretta per i sub ambiti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operativi  in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cuil’EGRIB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è subentrato e/o ha provveduto direttamente all’affidamento</w:t>
            </w: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EDEDED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SGR 2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2415" w:type="dxa"/>
            <w:shd w:val="clear" w:color="auto" w:fill="auto"/>
          </w:tcPr>
          <w:p w:rsidR="00482436" w:rsidRPr="001826C5" w:rsidRDefault="00014A9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Report annuale</w:t>
            </w:r>
          </w:p>
        </w:tc>
        <w:tc>
          <w:tcPr>
            <w:tcW w:w="2829" w:type="dxa"/>
            <w:shd w:val="clear" w:color="auto" w:fill="auto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Predisposizione </w:t>
            </w:r>
            <w:r w:rsidR="00014A94">
              <w:rPr>
                <w:rFonts w:ascii="Calibri" w:hAnsi="Calibri" w:cs="Calibri"/>
                <w:sz w:val="18"/>
                <w:szCs w:val="18"/>
              </w:rPr>
              <w:t xml:space="preserve">report annuale 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014A9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Predisposizione report annuale 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014A9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Predisposizione report annuale</w:t>
            </w: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  <w:tr w:rsidR="00482436" w:rsidRPr="001826C5" w:rsidTr="007D3355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SGR</w:t>
            </w:r>
            <w:proofErr w:type="gramStart"/>
            <w:r w:rsidR="00014A94">
              <w:rPr>
                <w:rFonts w:ascii="Calibri" w:hAnsi="Calibri" w:cs="Calibri"/>
                <w:b/>
                <w:sz w:val="18"/>
                <w:szCs w:val="18"/>
              </w:rPr>
              <w:t>3 .</w:t>
            </w:r>
            <w:proofErr w:type="gramEnd"/>
            <w:r w:rsidR="00014A94"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Regolazione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Azioni/Obiettivi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operativi</w:t>
            </w:r>
          </w:p>
        </w:tc>
        <w:tc>
          <w:tcPr>
            <w:tcW w:w="2415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2829" w:type="dxa"/>
            <w:shd w:val="clear" w:color="auto" w:fill="auto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EDEDED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SGR 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.1.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Predisposizione </w:t>
            </w:r>
            <w:r w:rsidRPr="002872AF">
              <w:rPr>
                <w:rFonts w:ascii="Calibri" w:hAnsi="Calibri" w:cs="Calibri"/>
                <w:b/>
                <w:sz w:val="18"/>
                <w:szCs w:val="18"/>
              </w:rPr>
              <w:t xml:space="preserve">regolamenti del servizio </w:t>
            </w:r>
            <w:r w:rsidRPr="002872A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SGR</w:t>
            </w:r>
          </w:p>
        </w:tc>
        <w:tc>
          <w:tcPr>
            <w:tcW w:w="2415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Regolamenti di Ambito SGR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Linee guida tariffa puntuale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6042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Predisposizione del Regolamento </w:t>
            </w:r>
            <w:proofErr w:type="gramStart"/>
            <w:r w:rsidR="00014A9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tipo </w:t>
            </w:r>
            <w:r w:rsidRPr="00F60427">
              <w:rPr>
                <w:rFonts w:ascii="Calibri" w:hAnsi="Calibri" w:cs="Calibri"/>
                <w:sz w:val="18"/>
                <w:szCs w:val="18"/>
              </w:rPr>
              <w:t xml:space="preserve"> di</w:t>
            </w:r>
            <w:proofErr w:type="gramEnd"/>
            <w:r w:rsidRPr="00F60427">
              <w:rPr>
                <w:rFonts w:ascii="Calibri" w:hAnsi="Calibri" w:cs="Calibri"/>
                <w:sz w:val="18"/>
                <w:szCs w:val="18"/>
              </w:rPr>
              <w:t xml:space="preserve"> gestione dei rifiuti e dei criteri di assimilazione            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60427">
              <w:rPr>
                <w:rFonts w:ascii="Calibri" w:hAnsi="Calibri" w:cs="Calibri"/>
                <w:sz w:val="18"/>
                <w:szCs w:val="18"/>
              </w:rPr>
              <w:t xml:space="preserve">Predisposizione delle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linee guida per l’applicazione </w:t>
            </w:r>
            <w:r w:rsidRPr="00F60427">
              <w:rPr>
                <w:rFonts w:ascii="Calibri" w:hAnsi="Calibri" w:cs="Calibri"/>
                <w:sz w:val="18"/>
                <w:szCs w:val="18"/>
              </w:rPr>
              <w:t>della tariffa puntuale (con relativi criteri per riconoscimento di agevolazioni per iniziative di prevenzione)</w:t>
            </w:r>
          </w:p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Applicazione e monitoraggio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Applicazione e monitoraggio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Applicazione e monitoraggio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Applicazione e monitoraggio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SGR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EDEDED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2436" w:rsidRPr="001826C5" w:rsidTr="007D3355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SGR </w:t>
            </w:r>
            <w:proofErr w:type="gramStart"/>
            <w:r w:rsidR="00014A94">
              <w:rPr>
                <w:rFonts w:ascii="Calibri" w:hAnsi="Calibri" w:cs="Calibri"/>
                <w:b/>
                <w:sz w:val="18"/>
                <w:szCs w:val="18"/>
              </w:rPr>
              <w:t xml:space="preserve">4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proofErr w:type="gramEnd"/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Piano Interventi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Azioni/Obiettivi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operativi</w:t>
            </w:r>
          </w:p>
        </w:tc>
        <w:tc>
          <w:tcPr>
            <w:tcW w:w="2415" w:type="dxa"/>
            <w:shd w:val="clear" w:color="auto" w:fill="auto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2829" w:type="dxa"/>
            <w:shd w:val="clear" w:color="auto" w:fill="auto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482436" w:rsidRPr="001826C5" w:rsidTr="007D3355">
        <w:trPr>
          <w:trHeight w:val="69"/>
        </w:trPr>
        <w:tc>
          <w:tcPr>
            <w:tcW w:w="3936" w:type="dxa"/>
            <w:shd w:val="clear" w:color="auto" w:fill="EDEDED"/>
          </w:tcPr>
          <w:p w:rsidR="00482436" w:rsidRPr="00DC460C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SGR </w:t>
            </w:r>
            <w:r w:rsidR="00014A94">
              <w:rPr>
                <w:rFonts w:ascii="Calibri" w:hAnsi="Calibri" w:cs="Calibri"/>
                <w:b/>
                <w:sz w:val="18"/>
                <w:szCs w:val="18"/>
              </w:rPr>
              <w:t>4.1</w:t>
            </w:r>
          </w:p>
        </w:tc>
        <w:tc>
          <w:tcPr>
            <w:tcW w:w="2415" w:type="dxa"/>
            <w:shd w:val="clear" w:color="auto" w:fill="auto"/>
          </w:tcPr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Pianificazione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482436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Pianificazione </w:t>
            </w:r>
            <w:r w:rsidR="00014A94">
              <w:rPr>
                <w:rFonts w:ascii="Calibri" w:hAnsi="Calibri" w:cs="Calibri"/>
                <w:sz w:val="18"/>
                <w:szCs w:val="18"/>
              </w:rPr>
              <w:t xml:space="preserve">e finanziamento interventi nell’ambito di procedure negoziate con la Regione a valere su fondi PO FESR </w:t>
            </w:r>
            <w:proofErr w:type="gramStart"/>
            <w:r w:rsidR="00014A94">
              <w:rPr>
                <w:rFonts w:ascii="Calibri" w:hAnsi="Calibri" w:cs="Calibri"/>
                <w:sz w:val="18"/>
                <w:szCs w:val="18"/>
              </w:rPr>
              <w:t>ed</w:t>
            </w:r>
            <w:proofErr w:type="gramEnd"/>
            <w:r w:rsidR="00014A94">
              <w:rPr>
                <w:rFonts w:ascii="Calibri" w:hAnsi="Calibri" w:cs="Calibri"/>
                <w:sz w:val="18"/>
                <w:szCs w:val="18"/>
              </w:rPr>
              <w:t xml:space="preserve"> FSC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82436" w:rsidRDefault="00014A9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Attuazione interventi, monitoraggio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4A94" w:rsidRDefault="00014A94" w:rsidP="00014A94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Attuazione interventi, monitoraggio</w:t>
            </w: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dxa"/>
          </w:tcPr>
          <w:p w:rsidR="00482436" w:rsidRPr="001826C5" w:rsidRDefault="00482436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82774" w:rsidRPr="001826C5" w:rsidTr="00183856">
        <w:trPr>
          <w:trHeight w:val="69"/>
        </w:trPr>
        <w:tc>
          <w:tcPr>
            <w:tcW w:w="14831" w:type="dxa"/>
            <w:gridSpan w:val="6"/>
            <w:shd w:val="clear" w:color="auto" w:fill="EDEDED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SGR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5. attività di comunicazione informazione su ciclo rifiuti C/o scuole dell’infanzia, primarie e secondarie di I^ grado</w:t>
            </w:r>
          </w:p>
        </w:tc>
      </w:tr>
      <w:tr w:rsidR="00C82774" w:rsidRPr="001826C5" w:rsidTr="007D3355">
        <w:trPr>
          <w:trHeight w:val="69"/>
        </w:trPr>
        <w:tc>
          <w:tcPr>
            <w:tcW w:w="3936" w:type="dxa"/>
            <w:shd w:val="clear" w:color="auto" w:fill="EDEDED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Azioni/Obiettivi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operativi</w:t>
            </w:r>
          </w:p>
        </w:tc>
        <w:tc>
          <w:tcPr>
            <w:tcW w:w="2415" w:type="dxa"/>
            <w:shd w:val="clear" w:color="auto" w:fill="auto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2829" w:type="dxa"/>
            <w:shd w:val="clear" w:color="auto" w:fill="auto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2020</w:t>
            </w:r>
          </w:p>
        </w:tc>
        <w:tc>
          <w:tcPr>
            <w:tcW w:w="831" w:type="dxa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C82774" w:rsidRPr="001826C5" w:rsidTr="007D3355">
        <w:trPr>
          <w:trHeight w:val="69"/>
        </w:trPr>
        <w:tc>
          <w:tcPr>
            <w:tcW w:w="3936" w:type="dxa"/>
            <w:shd w:val="clear" w:color="auto" w:fill="EDEDED"/>
          </w:tcPr>
          <w:p w:rsidR="00C82774" w:rsidRDefault="00C82774" w:rsidP="00C8277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SGR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5.1Coinvolgimento scuole</w:t>
            </w:r>
          </w:p>
          <w:p w:rsidR="00C04A90" w:rsidRDefault="00C04A90" w:rsidP="00C82774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Piani di formazione/informazione</w:t>
            </w:r>
          </w:p>
        </w:tc>
        <w:tc>
          <w:tcPr>
            <w:tcW w:w="2829" w:type="dxa"/>
            <w:shd w:val="clear" w:color="auto" w:fill="auto"/>
          </w:tcPr>
          <w:p w:rsidR="00C82774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Implementazione avviso per interventi diretti c/o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scuole  primarie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di I e II ordine</w:t>
            </w:r>
          </w:p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Attività di formazione in aula</w:t>
            </w:r>
          </w:p>
        </w:tc>
        <w:tc>
          <w:tcPr>
            <w:tcW w:w="2410" w:type="dxa"/>
            <w:shd w:val="clear" w:color="auto" w:fill="auto"/>
          </w:tcPr>
          <w:p w:rsidR="00C82774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Implementazione avviso per interventi diretti c/o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scuole  primarie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di I e II ordine</w:t>
            </w:r>
          </w:p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Attività di formazione in aula</w:t>
            </w:r>
          </w:p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82774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Implementazione avviso per interventi diretti c/o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scuole  primarie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di I e II ordine</w:t>
            </w:r>
          </w:p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Attività di formazione in aula</w:t>
            </w:r>
          </w:p>
        </w:tc>
        <w:tc>
          <w:tcPr>
            <w:tcW w:w="831" w:type="dxa"/>
          </w:tcPr>
          <w:p w:rsidR="00C82774" w:rsidRPr="001826C5" w:rsidRDefault="00C82774" w:rsidP="007D3355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SGR</w:t>
            </w:r>
          </w:p>
        </w:tc>
      </w:tr>
    </w:tbl>
    <w:p w:rsidR="00482436" w:rsidRDefault="00482436" w:rsidP="00AA1F1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82436" w:rsidSect="004824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067E"/>
    <w:multiLevelType w:val="hybridMultilevel"/>
    <w:tmpl w:val="D36A20D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30D0"/>
    <w:multiLevelType w:val="multilevel"/>
    <w:tmpl w:val="AC1C1DD4"/>
    <w:lvl w:ilvl="0">
      <w:start w:val="1"/>
      <w:numFmt w:val="decimal"/>
      <w:pStyle w:val="Titolo1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DA6E7B"/>
    <w:multiLevelType w:val="hybridMultilevel"/>
    <w:tmpl w:val="B190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D"/>
    <w:rsid w:val="00014A94"/>
    <w:rsid w:val="00365EFD"/>
    <w:rsid w:val="003A20E9"/>
    <w:rsid w:val="00415CC5"/>
    <w:rsid w:val="00482436"/>
    <w:rsid w:val="00535F7D"/>
    <w:rsid w:val="00683324"/>
    <w:rsid w:val="00775D9F"/>
    <w:rsid w:val="00923F5F"/>
    <w:rsid w:val="00A1353E"/>
    <w:rsid w:val="00A42DCA"/>
    <w:rsid w:val="00AA1F15"/>
    <w:rsid w:val="00AC761A"/>
    <w:rsid w:val="00AD6965"/>
    <w:rsid w:val="00C04A90"/>
    <w:rsid w:val="00C82774"/>
    <w:rsid w:val="00DE7187"/>
    <w:rsid w:val="00E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AEF3-DA61-466C-9B41-F928620B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A94"/>
  </w:style>
  <w:style w:type="paragraph" w:styleId="Titolo1">
    <w:name w:val="heading 1"/>
    <w:basedOn w:val="Normale"/>
    <w:next w:val="Normale"/>
    <w:link w:val="Titolo1Carattere"/>
    <w:autoRedefine/>
    <w:qFormat/>
    <w:rsid w:val="00482436"/>
    <w:pPr>
      <w:pageBreakBefore/>
      <w:numPr>
        <w:numId w:val="3"/>
      </w:numPr>
      <w:pBdr>
        <w:bottom w:val="single" w:sz="12" w:space="1" w:color="999999"/>
      </w:pBdr>
      <w:tabs>
        <w:tab w:val="clear" w:pos="454"/>
      </w:tabs>
      <w:spacing w:before="360" w:after="100" w:afterAutospacing="1" w:line="320" w:lineRule="atLeast"/>
      <w:jc w:val="both"/>
      <w:outlineLvl w:val="0"/>
    </w:pPr>
    <w:rPr>
      <w:rFonts w:ascii="Verdana" w:eastAsia="Times New Roman" w:hAnsi="Verdana" w:cs="Arial"/>
      <w:b/>
      <w:bCs/>
      <w:color w:val="808080"/>
      <w:kern w:val="32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82436"/>
    <w:pPr>
      <w:keepNext/>
      <w:numPr>
        <w:ilvl w:val="1"/>
        <w:numId w:val="3"/>
      </w:numPr>
      <w:spacing w:before="600" w:after="240" w:line="320" w:lineRule="atLeast"/>
      <w:jc w:val="both"/>
      <w:outlineLvl w:val="1"/>
    </w:pPr>
    <w:rPr>
      <w:rFonts w:ascii="Verdana" w:eastAsia="Times New Roman" w:hAnsi="Verdana" w:cs="Arial"/>
      <w:b/>
      <w:bCs/>
      <w:iCs/>
      <w:color w:val="808080"/>
      <w:sz w:val="24"/>
      <w:szCs w:val="28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82436"/>
    <w:pPr>
      <w:keepNext/>
      <w:numPr>
        <w:ilvl w:val="2"/>
        <w:numId w:val="3"/>
      </w:numPr>
      <w:spacing w:before="240" w:after="60" w:line="320" w:lineRule="atLeast"/>
      <w:jc w:val="both"/>
      <w:outlineLvl w:val="2"/>
    </w:pPr>
    <w:rPr>
      <w:rFonts w:ascii="Verdana" w:eastAsia="Times New Roman" w:hAnsi="Verdana" w:cs="Arial"/>
      <w:b/>
      <w:bCs/>
      <w:i/>
      <w:color w:val="808080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5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5F7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82436"/>
    <w:rPr>
      <w:rFonts w:ascii="Verdana" w:eastAsia="Times New Roman" w:hAnsi="Verdana" w:cs="Arial"/>
      <w:b/>
      <w:bCs/>
      <w:color w:val="808080"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2436"/>
    <w:rPr>
      <w:rFonts w:ascii="Verdana" w:eastAsia="Times New Roman" w:hAnsi="Verdana" w:cs="Arial"/>
      <w:b/>
      <w:bCs/>
      <w:iCs/>
      <w:color w:val="808080"/>
      <w:sz w:val="24"/>
      <w:szCs w:val="2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82436"/>
    <w:rPr>
      <w:rFonts w:ascii="Verdana" w:eastAsia="Times New Roman" w:hAnsi="Verdana" w:cs="Arial"/>
      <w:b/>
      <w:bCs/>
      <w:i/>
      <w:color w:val="808080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alcaivan</dc:creator>
  <cp:lastModifiedBy>Dott. Lorenzo Tortorelli</cp:lastModifiedBy>
  <cp:revision>2</cp:revision>
  <cp:lastPrinted>2018-02-21T10:55:00Z</cp:lastPrinted>
  <dcterms:created xsi:type="dcterms:W3CDTF">2019-03-22T06:52:00Z</dcterms:created>
  <dcterms:modified xsi:type="dcterms:W3CDTF">2019-03-22T06:52:00Z</dcterms:modified>
</cp:coreProperties>
</file>